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26059" w14:textId="77777777" w:rsidR="00040C3B" w:rsidRPr="00273122" w:rsidRDefault="00040C3B" w:rsidP="00040C3B">
      <w:pPr>
        <w:jc w:val="both"/>
        <w:rPr>
          <w:b/>
          <w:bCs/>
        </w:rPr>
      </w:pPr>
      <w:r w:rsidRPr="00273122">
        <w:rPr>
          <w:b/>
          <w:bCs/>
        </w:rPr>
        <w:t>RESEARCH PROPOSAL SUBMISSION FORM</w:t>
      </w:r>
    </w:p>
    <w:p w14:paraId="3987296C" w14:textId="77777777" w:rsidR="00040C3B" w:rsidRPr="003D159F" w:rsidRDefault="00040C3B" w:rsidP="00040C3B">
      <w:pPr>
        <w:jc w:val="both"/>
        <w:rPr>
          <w:b/>
          <w:bCs/>
        </w:rPr>
      </w:pPr>
      <w:r>
        <w:t xml:space="preserve"> </w:t>
      </w:r>
      <w:r>
        <w:rPr>
          <w:b/>
          <w:bCs/>
        </w:rPr>
        <w:t>STUDY SYNOPSIS (Maximum 1500 words)</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371"/>
      </w:tblGrid>
      <w:tr w:rsidR="00040C3B" w:rsidRPr="0077771B" w14:paraId="47CC5136" w14:textId="77777777" w:rsidTr="0034014D">
        <w:tc>
          <w:tcPr>
            <w:tcW w:w="2694" w:type="dxa"/>
          </w:tcPr>
          <w:p w14:paraId="114CEE14" w14:textId="77777777" w:rsidR="00040C3B" w:rsidRPr="000324A0" w:rsidRDefault="00040C3B" w:rsidP="0034014D">
            <w:pPr>
              <w:spacing w:line="240" w:lineRule="auto"/>
              <w:contextualSpacing/>
              <w:rPr>
                <w:b/>
              </w:rPr>
            </w:pPr>
            <w:r w:rsidRPr="000324A0">
              <w:rPr>
                <w:b/>
              </w:rPr>
              <w:t>TITLE</w:t>
            </w:r>
          </w:p>
        </w:tc>
        <w:tc>
          <w:tcPr>
            <w:tcW w:w="7371" w:type="dxa"/>
          </w:tcPr>
          <w:p w14:paraId="4F562093" w14:textId="77777777" w:rsidR="00040C3B" w:rsidRDefault="00040C3B" w:rsidP="0034014D">
            <w:pPr>
              <w:spacing w:line="240" w:lineRule="auto"/>
              <w:contextualSpacing/>
            </w:pPr>
          </w:p>
          <w:p w14:paraId="362C80CB" w14:textId="14BCCFC4" w:rsidR="00040C3B" w:rsidRDefault="00105B34" w:rsidP="0034014D">
            <w:pPr>
              <w:spacing w:line="240" w:lineRule="auto"/>
              <w:contextualSpacing/>
            </w:pPr>
            <w:r w:rsidRPr="007B520C">
              <w:rPr>
                <w:rFonts w:ascii="Times New Roman" w:hAnsi="Times New Roman" w:cs="Times New Roman"/>
                <w:b/>
                <w:bCs/>
                <w:iCs/>
                <w:sz w:val="24"/>
                <w:szCs w:val="24"/>
              </w:rPr>
              <w:t xml:space="preserve">Antivirals and </w:t>
            </w:r>
            <w:r w:rsidR="00A57D82">
              <w:rPr>
                <w:rFonts w:ascii="Times New Roman" w:hAnsi="Times New Roman" w:cs="Times New Roman"/>
                <w:b/>
                <w:bCs/>
                <w:iCs/>
                <w:sz w:val="24"/>
                <w:szCs w:val="24"/>
              </w:rPr>
              <w:t>steroids</w:t>
            </w:r>
            <w:r w:rsidRPr="007B520C">
              <w:rPr>
                <w:rFonts w:ascii="Times New Roman" w:hAnsi="Times New Roman" w:cs="Times New Roman"/>
                <w:b/>
                <w:bCs/>
                <w:iCs/>
                <w:sz w:val="24"/>
                <w:szCs w:val="24"/>
              </w:rPr>
              <w:t xml:space="preserve"> for hospitalised patients with influenza – an extension of the Australasian COVID-19 Trial (ASCOT)</w:t>
            </w:r>
          </w:p>
          <w:p w14:paraId="6455B9F8" w14:textId="77777777" w:rsidR="00040C3B" w:rsidRPr="000324A0" w:rsidRDefault="00040C3B" w:rsidP="0034014D">
            <w:pPr>
              <w:spacing w:line="240" w:lineRule="auto"/>
              <w:contextualSpacing/>
            </w:pPr>
          </w:p>
        </w:tc>
      </w:tr>
      <w:tr w:rsidR="00040C3B" w:rsidRPr="0077771B" w14:paraId="772E113A" w14:textId="77777777" w:rsidTr="0034014D">
        <w:tc>
          <w:tcPr>
            <w:tcW w:w="2694" w:type="dxa"/>
          </w:tcPr>
          <w:p w14:paraId="04545099" w14:textId="77777777" w:rsidR="00040C3B" w:rsidRPr="000324A0" w:rsidRDefault="00040C3B" w:rsidP="0034014D">
            <w:pPr>
              <w:spacing w:line="240" w:lineRule="auto"/>
              <w:contextualSpacing/>
              <w:rPr>
                <w:b/>
              </w:rPr>
            </w:pPr>
            <w:r>
              <w:rPr>
                <w:b/>
              </w:rPr>
              <w:t>PRINCIPAL INVESTIGATOR, AFFILIATIONS AND CONTACT DETAILS</w:t>
            </w:r>
          </w:p>
        </w:tc>
        <w:tc>
          <w:tcPr>
            <w:tcW w:w="7371" w:type="dxa"/>
          </w:tcPr>
          <w:p w14:paraId="173791F8" w14:textId="1D0A5047" w:rsidR="00040C3B" w:rsidRDefault="00105B34" w:rsidP="0034014D">
            <w:pPr>
              <w:spacing w:line="240" w:lineRule="auto"/>
              <w:contextualSpacing/>
            </w:pPr>
            <w:r>
              <w:t>Professor Steven Tong</w:t>
            </w:r>
          </w:p>
          <w:p w14:paraId="077E8762" w14:textId="66A1E7CD" w:rsidR="00105B34" w:rsidRDefault="00105B34" w:rsidP="0034014D">
            <w:pPr>
              <w:spacing w:line="240" w:lineRule="auto"/>
              <w:contextualSpacing/>
            </w:pPr>
            <w:r>
              <w:t>University of Melbourne</w:t>
            </w:r>
          </w:p>
          <w:p w14:paraId="6B74F9A1" w14:textId="5BBD4123" w:rsidR="00040C3B" w:rsidRDefault="00000000" w:rsidP="0034014D">
            <w:pPr>
              <w:spacing w:line="240" w:lineRule="auto"/>
              <w:contextualSpacing/>
            </w:pPr>
            <w:hyperlink r:id="rId7" w:history="1">
              <w:r w:rsidR="00105B34" w:rsidRPr="0043509A">
                <w:rPr>
                  <w:rStyle w:val="Hyperlink"/>
                </w:rPr>
                <w:t>Steven.tong@unimelb.edu.au</w:t>
              </w:r>
            </w:hyperlink>
          </w:p>
          <w:p w14:paraId="0199751A" w14:textId="77777777" w:rsidR="00040C3B" w:rsidRPr="000324A0" w:rsidRDefault="00040C3B" w:rsidP="0034014D">
            <w:pPr>
              <w:spacing w:line="240" w:lineRule="auto"/>
              <w:contextualSpacing/>
            </w:pPr>
          </w:p>
        </w:tc>
      </w:tr>
      <w:tr w:rsidR="00040C3B" w:rsidRPr="0077771B" w14:paraId="6C9957D2" w14:textId="77777777" w:rsidTr="0034014D">
        <w:tc>
          <w:tcPr>
            <w:tcW w:w="2694" w:type="dxa"/>
          </w:tcPr>
          <w:p w14:paraId="3D57D369" w14:textId="77777777" w:rsidR="00040C3B" w:rsidRDefault="00040C3B" w:rsidP="0034014D">
            <w:pPr>
              <w:spacing w:line="240" w:lineRule="auto"/>
              <w:contextualSpacing/>
              <w:rPr>
                <w:b/>
              </w:rPr>
            </w:pPr>
            <w:r>
              <w:rPr>
                <w:b/>
              </w:rPr>
              <w:t>ASSOCIATE INVESTIGATORS AND AFFILIATIONS</w:t>
            </w:r>
          </w:p>
        </w:tc>
        <w:tc>
          <w:tcPr>
            <w:tcW w:w="7371" w:type="dxa"/>
          </w:tcPr>
          <w:p w14:paraId="6D563364" w14:textId="77777777" w:rsidR="00040C3B" w:rsidRDefault="00040C3B" w:rsidP="0034014D">
            <w:pPr>
              <w:spacing w:line="240" w:lineRule="auto"/>
              <w:contextualSpacing/>
            </w:pPr>
          </w:p>
          <w:p w14:paraId="5FE6A0FB" w14:textId="7C05D2FB" w:rsidR="00040C3B" w:rsidRDefault="00105B34" w:rsidP="0034014D">
            <w:pPr>
              <w:spacing w:line="240" w:lineRule="auto"/>
              <w:contextualSpacing/>
            </w:pPr>
            <w:r>
              <w:t>Steven Tong, Ar K</w:t>
            </w:r>
            <w:r w:rsidR="00CA7A6F">
              <w:t>ar</w:t>
            </w:r>
            <w:r>
              <w:t xml:space="preserve"> Aung, Asha Bowen, Joshua Davis, Justin Denholm, Steve Webb, Allen Cheng, Susan Morpeth, Thomas Hills, Srin Murthy, Anna McGlothlin, James Totterdell</w:t>
            </w:r>
          </w:p>
          <w:p w14:paraId="2DBAA6AF" w14:textId="77777777" w:rsidR="00040C3B" w:rsidRPr="000324A0" w:rsidRDefault="00040C3B" w:rsidP="0034014D">
            <w:pPr>
              <w:spacing w:line="240" w:lineRule="auto"/>
              <w:contextualSpacing/>
            </w:pPr>
          </w:p>
        </w:tc>
      </w:tr>
      <w:tr w:rsidR="00040C3B" w:rsidRPr="0077771B" w14:paraId="4733E221" w14:textId="77777777" w:rsidTr="0034014D">
        <w:tc>
          <w:tcPr>
            <w:tcW w:w="2694" w:type="dxa"/>
          </w:tcPr>
          <w:p w14:paraId="51CB01BC" w14:textId="77777777" w:rsidR="00040C3B" w:rsidRDefault="00040C3B" w:rsidP="0034014D">
            <w:pPr>
              <w:spacing w:line="240" w:lineRule="auto"/>
              <w:contextualSpacing/>
              <w:rPr>
                <w:b/>
              </w:rPr>
            </w:pPr>
            <w:r>
              <w:rPr>
                <w:b/>
              </w:rPr>
              <w:t>I AM SEEKING FOR MY STUDY TO BE CONSIDERED AS A (PLEASE CHOOSE ONE):</w:t>
            </w:r>
          </w:p>
          <w:p w14:paraId="740E593E" w14:textId="77777777" w:rsidR="00040C3B" w:rsidRDefault="00040C3B" w:rsidP="0034014D">
            <w:pPr>
              <w:spacing w:line="240" w:lineRule="auto"/>
              <w:contextualSpacing/>
              <w:rPr>
                <w:b/>
              </w:rPr>
            </w:pPr>
          </w:p>
        </w:tc>
        <w:tc>
          <w:tcPr>
            <w:tcW w:w="7371" w:type="dxa"/>
          </w:tcPr>
          <w:p w14:paraId="65829875" w14:textId="32E04025" w:rsidR="00040C3B" w:rsidRDefault="00040C3B" w:rsidP="0034014D">
            <w:pPr>
              <w:spacing w:line="240" w:lineRule="auto"/>
              <w:contextualSpacing/>
              <w:rPr>
                <w:b/>
                <w:bCs/>
              </w:rPr>
            </w:pPr>
            <w:r w:rsidRPr="007B2CF2">
              <w:rPr>
                <w:b/>
                <w:bCs/>
              </w:rPr>
              <w:t xml:space="preserve">IMSANZ-RN </w:t>
            </w:r>
            <w:r w:rsidR="009A6E2D">
              <w:rPr>
                <w:b/>
                <w:bCs/>
              </w:rPr>
              <w:t>PARTNER</w:t>
            </w:r>
            <w:r w:rsidRPr="007B2CF2">
              <w:rPr>
                <w:b/>
                <w:bCs/>
              </w:rPr>
              <w:t>ED STUDY</w:t>
            </w:r>
          </w:p>
          <w:p w14:paraId="5623913C" w14:textId="77777777" w:rsidR="00040C3B" w:rsidRDefault="00040C3B" w:rsidP="0034014D">
            <w:pPr>
              <w:spacing w:line="240" w:lineRule="auto"/>
              <w:contextualSpacing/>
              <w:rPr>
                <w:b/>
                <w:bCs/>
              </w:rPr>
            </w:pPr>
          </w:p>
          <w:p w14:paraId="2D87A0E3" w14:textId="77777777" w:rsidR="00040C3B" w:rsidRDefault="00040C3B" w:rsidP="0034014D">
            <w:pPr>
              <w:spacing w:line="240" w:lineRule="auto"/>
              <w:contextualSpacing/>
            </w:pPr>
          </w:p>
        </w:tc>
      </w:tr>
      <w:tr w:rsidR="00040C3B" w:rsidRPr="0077771B" w14:paraId="319BFBA3" w14:textId="77777777" w:rsidTr="0034014D">
        <w:tc>
          <w:tcPr>
            <w:tcW w:w="2694" w:type="dxa"/>
          </w:tcPr>
          <w:p w14:paraId="2C76F8A3" w14:textId="77777777" w:rsidR="00040C3B" w:rsidRDefault="00040C3B" w:rsidP="0034014D">
            <w:pPr>
              <w:spacing w:line="240" w:lineRule="auto"/>
              <w:contextualSpacing/>
              <w:rPr>
                <w:b/>
              </w:rPr>
            </w:pPr>
            <w:r>
              <w:rPr>
                <w:b/>
              </w:rPr>
              <w:t>IS THIS STUDY CURRENTLY A MULTICENTRE STUDY? (I.E. INVOLVEMENT OF MORE THAN ONE HEALTH SERVICES OR JURISDICTION)</w:t>
            </w:r>
          </w:p>
        </w:tc>
        <w:tc>
          <w:tcPr>
            <w:tcW w:w="7371" w:type="dxa"/>
          </w:tcPr>
          <w:p w14:paraId="6B2D4739" w14:textId="77777777" w:rsidR="00040C3B" w:rsidRPr="00093CE1" w:rsidRDefault="00040C3B" w:rsidP="0034014D">
            <w:pPr>
              <w:spacing w:line="240" w:lineRule="auto"/>
              <w:contextualSpacing/>
              <w:rPr>
                <w:b/>
                <w:bCs/>
              </w:rPr>
            </w:pPr>
            <w:r w:rsidRPr="00093CE1">
              <w:rPr>
                <w:b/>
                <w:bCs/>
              </w:rPr>
              <w:t>YES</w:t>
            </w:r>
          </w:p>
          <w:p w14:paraId="431256E2" w14:textId="0678BC14" w:rsidR="00040C3B" w:rsidRPr="000324A0" w:rsidRDefault="00040C3B" w:rsidP="0034014D">
            <w:pPr>
              <w:spacing w:line="240" w:lineRule="auto"/>
              <w:contextualSpacing/>
            </w:pPr>
          </w:p>
        </w:tc>
      </w:tr>
      <w:tr w:rsidR="00040C3B" w:rsidRPr="0077771B" w14:paraId="240101A1" w14:textId="77777777" w:rsidTr="0034014D">
        <w:tc>
          <w:tcPr>
            <w:tcW w:w="2694" w:type="dxa"/>
          </w:tcPr>
          <w:p w14:paraId="48116665" w14:textId="77777777" w:rsidR="00040C3B" w:rsidRDefault="00040C3B" w:rsidP="0034014D">
            <w:pPr>
              <w:spacing w:line="240" w:lineRule="auto"/>
              <w:contextualSpacing/>
              <w:rPr>
                <w:b/>
              </w:rPr>
            </w:pPr>
            <w:r>
              <w:rPr>
                <w:b/>
              </w:rPr>
              <w:t>ARE YOU LOOKING FOR OPPORTUNITIES FOR MULTICENTRE COLLABORATION?</w:t>
            </w:r>
          </w:p>
        </w:tc>
        <w:tc>
          <w:tcPr>
            <w:tcW w:w="7371" w:type="dxa"/>
          </w:tcPr>
          <w:p w14:paraId="5E9203C9" w14:textId="77777777" w:rsidR="00040C3B" w:rsidRDefault="00040C3B" w:rsidP="0034014D">
            <w:pPr>
              <w:spacing w:line="240" w:lineRule="auto"/>
              <w:contextualSpacing/>
              <w:rPr>
                <w:b/>
                <w:bCs/>
              </w:rPr>
            </w:pPr>
            <w:r>
              <w:rPr>
                <w:b/>
                <w:bCs/>
              </w:rPr>
              <w:t>YES</w:t>
            </w:r>
          </w:p>
          <w:p w14:paraId="26FBFF7F" w14:textId="77777777" w:rsidR="00040C3B" w:rsidRDefault="00040C3B" w:rsidP="0034014D">
            <w:pPr>
              <w:spacing w:line="240" w:lineRule="auto"/>
              <w:contextualSpacing/>
              <w:rPr>
                <w:b/>
                <w:bCs/>
              </w:rPr>
            </w:pPr>
          </w:p>
          <w:p w14:paraId="2C857E02" w14:textId="77777777" w:rsidR="00040C3B" w:rsidRDefault="00040C3B" w:rsidP="0034014D">
            <w:pPr>
              <w:spacing w:line="240" w:lineRule="auto"/>
              <w:contextualSpacing/>
              <w:rPr>
                <w:b/>
                <w:bCs/>
              </w:rPr>
            </w:pPr>
          </w:p>
          <w:p w14:paraId="183FE886" w14:textId="77777777" w:rsidR="00040C3B" w:rsidRDefault="00040C3B" w:rsidP="0034014D">
            <w:pPr>
              <w:spacing w:line="240" w:lineRule="auto"/>
              <w:contextualSpacing/>
              <w:rPr>
                <w:b/>
                <w:bCs/>
              </w:rPr>
            </w:pPr>
          </w:p>
          <w:p w14:paraId="66C80F54" w14:textId="77777777" w:rsidR="00040C3B" w:rsidRPr="00093CE1" w:rsidRDefault="00040C3B" w:rsidP="0034014D">
            <w:pPr>
              <w:spacing w:line="240" w:lineRule="auto"/>
              <w:contextualSpacing/>
              <w:rPr>
                <w:b/>
                <w:bCs/>
              </w:rPr>
            </w:pPr>
          </w:p>
        </w:tc>
      </w:tr>
      <w:tr w:rsidR="00040C3B" w:rsidRPr="0077771B" w14:paraId="732BB094" w14:textId="77777777" w:rsidTr="0034014D">
        <w:tc>
          <w:tcPr>
            <w:tcW w:w="2694" w:type="dxa"/>
          </w:tcPr>
          <w:p w14:paraId="55A8377B" w14:textId="77777777" w:rsidR="00040C3B" w:rsidRDefault="00040C3B" w:rsidP="0034014D">
            <w:pPr>
              <w:spacing w:line="240" w:lineRule="auto"/>
              <w:contextualSpacing/>
              <w:rPr>
                <w:b/>
              </w:rPr>
            </w:pPr>
            <w:r>
              <w:rPr>
                <w:b/>
              </w:rPr>
              <w:t>IF ‘YES’ TO QUESTION ABOVE, CAN INTERESTED COLLABORATORS CONTACT YOU DIRECTLY?</w:t>
            </w:r>
          </w:p>
          <w:p w14:paraId="31655A27" w14:textId="77777777" w:rsidR="00040C3B" w:rsidRDefault="00040C3B" w:rsidP="0034014D">
            <w:pPr>
              <w:spacing w:line="240" w:lineRule="auto"/>
              <w:contextualSpacing/>
              <w:rPr>
                <w:b/>
              </w:rPr>
            </w:pPr>
          </w:p>
        </w:tc>
        <w:tc>
          <w:tcPr>
            <w:tcW w:w="7371" w:type="dxa"/>
          </w:tcPr>
          <w:p w14:paraId="773B6A10" w14:textId="77777777" w:rsidR="00040C3B" w:rsidRDefault="00040C3B" w:rsidP="0034014D">
            <w:pPr>
              <w:spacing w:line="240" w:lineRule="auto"/>
              <w:contextualSpacing/>
              <w:rPr>
                <w:b/>
                <w:bCs/>
              </w:rPr>
            </w:pPr>
            <w:r>
              <w:rPr>
                <w:b/>
                <w:bCs/>
              </w:rPr>
              <w:t>NO</w:t>
            </w:r>
          </w:p>
          <w:p w14:paraId="3D60DA74" w14:textId="77777777" w:rsidR="00040C3B" w:rsidRDefault="00040C3B" w:rsidP="0034014D">
            <w:pPr>
              <w:spacing w:line="240" w:lineRule="auto"/>
              <w:contextualSpacing/>
              <w:rPr>
                <w:b/>
                <w:bCs/>
              </w:rPr>
            </w:pPr>
          </w:p>
          <w:p w14:paraId="47A96AAF" w14:textId="77777777" w:rsidR="00040C3B" w:rsidRDefault="00040C3B" w:rsidP="0034014D">
            <w:pPr>
              <w:spacing w:line="240" w:lineRule="auto"/>
              <w:contextualSpacing/>
              <w:rPr>
                <w:b/>
                <w:bCs/>
              </w:rPr>
            </w:pPr>
          </w:p>
          <w:p w14:paraId="496E8D8C" w14:textId="77777777" w:rsidR="00040C3B" w:rsidRDefault="00040C3B" w:rsidP="0034014D">
            <w:pPr>
              <w:spacing w:line="240" w:lineRule="auto"/>
              <w:contextualSpacing/>
              <w:rPr>
                <w:b/>
                <w:bCs/>
              </w:rPr>
            </w:pPr>
          </w:p>
          <w:p w14:paraId="313902C3" w14:textId="77777777" w:rsidR="00040C3B" w:rsidRDefault="00040C3B" w:rsidP="0034014D">
            <w:pPr>
              <w:spacing w:line="240" w:lineRule="auto"/>
              <w:contextualSpacing/>
              <w:rPr>
                <w:b/>
                <w:bCs/>
              </w:rPr>
            </w:pPr>
          </w:p>
        </w:tc>
      </w:tr>
      <w:tr w:rsidR="00040C3B" w:rsidRPr="0077771B" w14:paraId="1F2DB2BB" w14:textId="77777777" w:rsidTr="0034014D">
        <w:tc>
          <w:tcPr>
            <w:tcW w:w="2694" w:type="dxa"/>
          </w:tcPr>
          <w:p w14:paraId="6E221161" w14:textId="77777777" w:rsidR="00040C3B" w:rsidRPr="000324A0" w:rsidRDefault="00040C3B" w:rsidP="0034014D">
            <w:pPr>
              <w:spacing w:line="240" w:lineRule="auto"/>
              <w:contextualSpacing/>
              <w:rPr>
                <w:b/>
              </w:rPr>
            </w:pPr>
            <w:r w:rsidRPr="000324A0">
              <w:rPr>
                <w:b/>
              </w:rPr>
              <w:t>BACKGROUND</w:t>
            </w:r>
          </w:p>
        </w:tc>
        <w:tc>
          <w:tcPr>
            <w:tcW w:w="7371" w:type="dxa"/>
          </w:tcPr>
          <w:p w14:paraId="0355DABC" w14:textId="77777777" w:rsidR="00105B34" w:rsidRPr="003010B8" w:rsidRDefault="00105B34" w:rsidP="00105B34">
            <w:pPr>
              <w:spacing w:after="0" w:line="240" w:lineRule="auto"/>
              <w:rPr>
                <w:iCs/>
              </w:rPr>
            </w:pPr>
            <w:r w:rsidRPr="003010B8">
              <w:rPr>
                <w:iCs/>
              </w:rPr>
              <w:t>The Australasian COVID-19 Trial (ASCOT) intends to join a global collaborative platform trial in testing treatments for hospitalised patients with influenza. We present this trial on behalf of the Australasian Society for Infectious Diseases Clinical Research Network, and in collaboration with the Australian and New Zealand REMAP-CAP (Randomised Embedded Multicentre Adaptive Platform for Community Acquired Pneumonia) consortium.</w:t>
            </w:r>
          </w:p>
          <w:p w14:paraId="60C275CA" w14:textId="7114DB23" w:rsidR="00040C3B" w:rsidRPr="000324A0" w:rsidRDefault="00105B34" w:rsidP="00105B34">
            <w:r w:rsidRPr="003010B8">
              <w:rPr>
                <w:iCs/>
              </w:rPr>
              <w:t xml:space="preserve">Originally designed as a COVID-19 trial platform, ASCOT is joining with REMAP-CAP and broadening to include acute respiratory infections beyond COVID-19. ASCOT focuses on non-critically ill patients. REMAP-CAP focuses on the critically ill (although has had limited enrolment of non-critically ill). Current guidelines vary in their recommendations for the use of antivirals for patients hospitalised with influenza due to the lack clear evidence in this population. Similarly, the </w:t>
            </w:r>
            <w:r w:rsidRPr="003010B8">
              <w:rPr>
                <w:iCs/>
              </w:rPr>
              <w:lastRenderedPageBreak/>
              <w:t>role of corticosteroids in patients with influenza pneumonia has been a longstanding controversy.</w:t>
            </w:r>
          </w:p>
        </w:tc>
      </w:tr>
      <w:tr w:rsidR="00040C3B" w:rsidRPr="0077771B" w14:paraId="0D77817B" w14:textId="77777777" w:rsidTr="0034014D">
        <w:tc>
          <w:tcPr>
            <w:tcW w:w="2694" w:type="dxa"/>
          </w:tcPr>
          <w:p w14:paraId="372E7C70" w14:textId="77777777" w:rsidR="00040C3B" w:rsidRPr="000324A0" w:rsidRDefault="00040C3B" w:rsidP="0034014D">
            <w:pPr>
              <w:spacing w:line="240" w:lineRule="auto"/>
              <w:contextualSpacing/>
              <w:rPr>
                <w:b/>
              </w:rPr>
            </w:pPr>
            <w:r>
              <w:rPr>
                <w:b/>
              </w:rPr>
              <w:lastRenderedPageBreak/>
              <w:t>RESEARCH QUESTION/HYPOTHESIS</w:t>
            </w:r>
          </w:p>
        </w:tc>
        <w:tc>
          <w:tcPr>
            <w:tcW w:w="7371" w:type="dxa"/>
          </w:tcPr>
          <w:p w14:paraId="00DA46CD" w14:textId="393ECBB0" w:rsidR="00040C3B" w:rsidRDefault="00105B34" w:rsidP="0034014D">
            <w:pPr>
              <w:autoSpaceDE w:val="0"/>
              <w:autoSpaceDN w:val="0"/>
              <w:adjustRightInd w:val="0"/>
              <w:spacing w:line="240" w:lineRule="auto"/>
              <w:contextualSpacing/>
              <w:rPr>
                <w:iCs/>
              </w:rPr>
            </w:pPr>
            <w:r w:rsidRPr="003010B8">
              <w:rPr>
                <w:iCs/>
              </w:rPr>
              <w:t>In this project, we will randomise patients hospitalised with influenza to different antiviral strategies (different durations and combinations of oseltamivir and baloxavir) and the use of steroids (or no steroids).</w:t>
            </w:r>
          </w:p>
          <w:p w14:paraId="1F39ABDC" w14:textId="77777777" w:rsidR="00105B34" w:rsidRDefault="00105B34" w:rsidP="0034014D">
            <w:pPr>
              <w:autoSpaceDE w:val="0"/>
              <w:autoSpaceDN w:val="0"/>
              <w:adjustRightInd w:val="0"/>
              <w:spacing w:line="240" w:lineRule="auto"/>
              <w:contextualSpacing/>
            </w:pPr>
          </w:p>
          <w:p w14:paraId="5B48A005" w14:textId="77777777" w:rsidR="00105B34" w:rsidRPr="00105B34" w:rsidRDefault="00105B34" w:rsidP="00105B34">
            <w:pPr>
              <w:autoSpaceDE w:val="0"/>
              <w:autoSpaceDN w:val="0"/>
              <w:adjustRightInd w:val="0"/>
              <w:spacing w:line="240" w:lineRule="auto"/>
              <w:contextualSpacing/>
            </w:pPr>
            <w:r w:rsidRPr="00105B34">
              <w:t xml:space="preserve">The </w:t>
            </w:r>
            <w:r w:rsidRPr="00105B34">
              <w:rPr>
                <w:u w:val="single"/>
              </w:rPr>
              <w:t>antiviral domain interventions</w:t>
            </w:r>
            <w:r w:rsidRPr="00105B34">
              <w:t xml:space="preserve"> comprise:</w:t>
            </w:r>
          </w:p>
          <w:p w14:paraId="0C2FCF17" w14:textId="77777777" w:rsidR="00105B34" w:rsidRPr="00105B34" w:rsidRDefault="00105B34" w:rsidP="00105B34">
            <w:pPr>
              <w:numPr>
                <w:ilvl w:val="0"/>
                <w:numId w:val="1"/>
              </w:numPr>
              <w:autoSpaceDE w:val="0"/>
              <w:autoSpaceDN w:val="0"/>
              <w:adjustRightInd w:val="0"/>
              <w:spacing w:line="240" w:lineRule="auto"/>
              <w:contextualSpacing/>
            </w:pPr>
            <w:r w:rsidRPr="00105B34">
              <w:t>No antiviral</w:t>
            </w:r>
          </w:p>
          <w:p w14:paraId="21284EB8" w14:textId="77777777" w:rsidR="00105B34" w:rsidRPr="00105B34" w:rsidRDefault="00105B34" w:rsidP="00105B34">
            <w:pPr>
              <w:numPr>
                <w:ilvl w:val="0"/>
                <w:numId w:val="1"/>
              </w:numPr>
              <w:autoSpaceDE w:val="0"/>
              <w:autoSpaceDN w:val="0"/>
              <w:adjustRightInd w:val="0"/>
              <w:spacing w:line="240" w:lineRule="auto"/>
              <w:contextualSpacing/>
            </w:pPr>
            <w:r w:rsidRPr="00105B34">
              <w:t>Oseltamivir for 5 days</w:t>
            </w:r>
          </w:p>
          <w:p w14:paraId="2260A683" w14:textId="77777777" w:rsidR="00105B34" w:rsidRPr="00105B34" w:rsidRDefault="00105B34" w:rsidP="00105B34">
            <w:pPr>
              <w:numPr>
                <w:ilvl w:val="0"/>
                <w:numId w:val="1"/>
              </w:numPr>
              <w:autoSpaceDE w:val="0"/>
              <w:autoSpaceDN w:val="0"/>
              <w:adjustRightInd w:val="0"/>
              <w:spacing w:line="240" w:lineRule="auto"/>
              <w:contextualSpacing/>
            </w:pPr>
            <w:r w:rsidRPr="00105B34">
              <w:t>Oseltamivir for 10 days</w:t>
            </w:r>
          </w:p>
          <w:p w14:paraId="70E0B5DF" w14:textId="77777777" w:rsidR="00105B34" w:rsidRPr="00105B34" w:rsidRDefault="00105B34" w:rsidP="00105B34">
            <w:pPr>
              <w:numPr>
                <w:ilvl w:val="0"/>
                <w:numId w:val="1"/>
              </w:numPr>
              <w:autoSpaceDE w:val="0"/>
              <w:autoSpaceDN w:val="0"/>
              <w:adjustRightInd w:val="0"/>
              <w:spacing w:line="240" w:lineRule="auto"/>
              <w:contextualSpacing/>
            </w:pPr>
            <w:r w:rsidRPr="00105B34">
              <w:t>Baloxavir on days 1 and 4</w:t>
            </w:r>
          </w:p>
          <w:p w14:paraId="77AE1462" w14:textId="77777777" w:rsidR="00105B34" w:rsidRPr="00105B34" w:rsidRDefault="00105B34" w:rsidP="00105B34">
            <w:pPr>
              <w:numPr>
                <w:ilvl w:val="0"/>
                <w:numId w:val="1"/>
              </w:numPr>
              <w:autoSpaceDE w:val="0"/>
              <w:autoSpaceDN w:val="0"/>
              <w:adjustRightInd w:val="0"/>
              <w:spacing w:line="240" w:lineRule="auto"/>
              <w:contextualSpacing/>
            </w:pPr>
            <w:r w:rsidRPr="00105B34">
              <w:t>Combination of Oseltamivir for 5 days and Baloxavir on days 1 and 4</w:t>
            </w:r>
          </w:p>
          <w:p w14:paraId="6C50F4DA" w14:textId="77777777" w:rsidR="00105B34" w:rsidRPr="00105B34" w:rsidRDefault="00105B34" w:rsidP="00105B34">
            <w:pPr>
              <w:numPr>
                <w:ilvl w:val="0"/>
                <w:numId w:val="1"/>
              </w:numPr>
              <w:autoSpaceDE w:val="0"/>
              <w:autoSpaceDN w:val="0"/>
              <w:adjustRightInd w:val="0"/>
              <w:spacing w:line="240" w:lineRule="auto"/>
              <w:contextualSpacing/>
            </w:pPr>
            <w:r w:rsidRPr="00105B34">
              <w:t>Combination of Oseltamivir for 10 days and Baloxavir on days 1 and 4</w:t>
            </w:r>
          </w:p>
          <w:p w14:paraId="3B997C23" w14:textId="77777777" w:rsidR="00105B34" w:rsidRDefault="00105B34" w:rsidP="0034014D">
            <w:pPr>
              <w:autoSpaceDE w:val="0"/>
              <w:autoSpaceDN w:val="0"/>
              <w:adjustRightInd w:val="0"/>
              <w:spacing w:line="240" w:lineRule="auto"/>
              <w:contextualSpacing/>
            </w:pPr>
          </w:p>
          <w:p w14:paraId="1C77D477" w14:textId="77777777" w:rsidR="00105B34" w:rsidRPr="00105B34" w:rsidRDefault="00105B34" w:rsidP="00105B34">
            <w:pPr>
              <w:autoSpaceDE w:val="0"/>
              <w:autoSpaceDN w:val="0"/>
              <w:adjustRightInd w:val="0"/>
              <w:spacing w:line="240" w:lineRule="auto"/>
              <w:contextualSpacing/>
              <w:rPr>
                <w:lang w:val="en-GB"/>
              </w:rPr>
            </w:pPr>
            <w:r w:rsidRPr="00105B34">
              <w:rPr>
                <w:lang w:val="en-GB"/>
              </w:rPr>
              <w:t xml:space="preserve">The </w:t>
            </w:r>
            <w:r w:rsidRPr="00105B34">
              <w:rPr>
                <w:u w:val="single"/>
                <w:lang w:val="en-GB"/>
              </w:rPr>
              <w:t>corticosteroid domain interventions</w:t>
            </w:r>
            <w:r w:rsidRPr="00105B34">
              <w:rPr>
                <w:lang w:val="en-GB"/>
              </w:rPr>
              <w:t xml:space="preserve"> comprise:</w:t>
            </w:r>
          </w:p>
          <w:p w14:paraId="3C1E9F5D" w14:textId="77777777" w:rsidR="00105B34" w:rsidRPr="00105B34" w:rsidRDefault="00105B34" w:rsidP="00105B34">
            <w:pPr>
              <w:numPr>
                <w:ilvl w:val="0"/>
                <w:numId w:val="2"/>
              </w:numPr>
              <w:autoSpaceDE w:val="0"/>
              <w:autoSpaceDN w:val="0"/>
              <w:adjustRightInd w:val="0"/>
              <w:spacing w:line="240" w:lineRule="auto"/>
              <w:contextualSpacing/>
              <w:rPr>
                <w:lang w:val="en-GB"/>
              </w:rPr>
            </w:pPr>
            <w:r w:rsidRPr="00105B34">
              <w:rPr>
                <w:lang w:val="en-GB"/>
              </w:rPr>
              <w:t>No corticosteroids</w:t>
            </w:r>
          </w:p>
          <w:p w14:paraId="7DD48D38" w14:textId="77777777" w:rsidR="00105B34" w:rsidRPr="00105B34" w:rsidRDefault="00105B34" w:rsidP="00105B34">
            <w:pPr>
              <w:numPr>
                <w:ilvl w:val="0"/>
                <w:numId w:val="2"/>
              </w:numPr>
              <w:autoSpaceDE w:val="0"/>
              <w:autoSpaceDN w:val="0"/>
              <w:adjustRightInd w:val="0"/>
              <w:spacing w:line="240" w:lineRule="auto"/>
              <w:contextualSpacing/>
              <w:rPr>
                <w:lang w:val="en-GB"/>
              </w:rPr>
            </w:pPr>
            <w:r w:rsidRPr="00105B34">
              <w:rPr>
                <w:lang w:val="en-GB"/>
              </w:rPr>
              <w:t>Dexamethasone 6mg (0.15mg/kg for children) oral or intravenous for 10 days while in hospital</w:t>
            </w:r>
          </w:p>
          <w:p w14:paraId="28778D61" w14:textId="77777777" w:rsidR="00040C3B" w:rsidRDefault="00040C3B" w:rsidP="0034014D">
            <w:pPr>
              <w:autoSpaceDE w:val="0"/>
              <w:autoSpaceDN w:val="0"/>
              <w:adjustRightInd w:val="0"/>
              <w:spacing w:line="240" w:lineRule="auto"/>
              <w:contextualSpacing/>
            </w:pPr>
          </w:p>
        </w:tc>
      </w:tr>
      <w:tr w:rsidR="00040C3B" w:rsidRPr="0077771B" w14:paraId="265F6C89" w14:textId="77777777" w:rsidTr="0034014D">
        <w:tc>
          <w:tcPr>
            <w:tcW w:w="2694" w:type="dxa"/>
          </w:tcPr>
          <w:p w14:paraId="3CAF0AD9" w14:textId="77777777" w:rsidR="00040C3B" w:rsidRPr="000324A0" w:rsidRDefault="00040C3B" w:rsidP="0034014D">
            <w:pPr>
              <w:spacing w:line="240" w:lineRule="auto"/>
              <w:contextualSpacing/>
              <w:rPr>
                <w:b/>
              </w:rPr>
            </w:pPr>
            <w:r w:rsidRPr="000324A0">
              <w:br w:type="page"/>
            </w:r>
            <w:r w:rsidRPr="000324A0">
              <w:rPr>
                <w:b/>
              </w:rPr>
              <w:t>PRIMARY OUTCOME</w:t>
            </w:r>
            <w:r>
              <w:rPr>
                <w:b/>
              </w:rPr>
              <w:t xml:space="preserve">/PROCESS </w:t>
            </w:r>
            <w:r w:rsidRPr="000324A0">
              <w:rPr>
                <w:b/>
              </w:rPr>
              <w:t>MEASURE</w:t>
            </w:r>
          </w:p>
        </w:tc>
        <w:tc>
          <w:tcPr>
            <w:tcW w:w="7371" w:type="dxa"/>
          </w:tcPr>
          <w:p w14:paraId="22400565" w14:textId="77777777" w:rsidR="00040C3B" w:rsidRDefault="00040C3B" w:rsidP="0034014D">
            <w:pPr>
              <w:spacing w:after="0" w:line="240" w:lineRule="auto"/>
            </w:pPr>
            <w:r w:rsidRPr="000324A0">
              <w:t xml:space="preserve"> </w:t>
            </w:r>
          </w:p>
          <w:p w14:paraId="6F7F5BBB" w14:textId="7EE7BC61" w:rsidR="00040C3B" w:rsidRDefault="00105B34" w:rsidP="0034014D">
            <w:pPr>
              <w:spacing w:after="0" w:line="240" w:lineRule="auto"/>
            </w:pPr>
            <w:r w:rsidRPr="00105B34">
              <w:rPr>
                <w:lang w:val="en-US"/>
              </w:rPr>
              <w:t>28-day organ support-free days, incorporating mortality</w:t>
            </w:r>
          </w:p>
          <w:p w14:paraId="03EF0F72" w14:textId="77777777" w:rsidR="00040C3B" w:rsidRDefault="00040C3B" w:rsidP="0034014D">
            <w:pPr>
              <w:spacing w:after="0" w:line="240" w:lineRule="auto"/>
            </w:pPr>
          </w:p>
          <w:p w14:paraId="05303B4B" w14:textId="77777777" w:rsidR="00040C3B" w:rsidRPr="00E4001C" w:rsidRDefault="00040C3B" w:rsidP="0034014D">
            <w:pPr>
              <w:spacing w:after="0" w:line="240" w:lineRule="auto"/>
              <w:rPr>
                <w:rFonts w:cs="TimesNewRomanPSMT"/>
              </w:rPr>
            </w:pPr>
          </w:p>
        </w:tc>
      </w:tr>
      <w:tr w:rsidR="00040C3B" w:rsidRPr="0077771B" w14:paraId="6B6EF917" w14:textId="77777777" w:rsidTr="0034014D">
        <w:tc>
          <w:tcPr>
            <w:tcW w:w="2694" w:type="dxa"/>
          </w:tcPr>
          <w:p w14:paraId="35D397C4" w14:textId="77777777" w:rsidR="00040C3B" w:rsidRPr="000324A0" w:rsidRDefault="00040C3B" w:rsidP="0034014D">
            <w:pPr>
              <w:spacing w:line="240" w:lineRule="auto"/>
              <w:contextualSpacing/>
              <w:rPr>
                <w:b/>
              </w:rPr>
            </w:pPr>
            <w:r w:rsidRPr="000324A0">
              <w:rPr>
                <w:b/>
              </w:rPr>
              <w:t>SECONDARY OUTCOME</w:t>
            </w:r>
            <w:r>
              <w:rPr>
                <w:b/>
              </w:rPr>
              <w:t>/PROCESS</w:t>
            </w:r>
            <w:r w:rsidRPr="000324A0">
              <w:rPr>
                <w:b/>
              </w:rPr>
              <w:t xml:space="preserve"> MEASURES</w:t>
            </w:r>
          </w:p>
        </w:tc>
        <w:tc>
          <w:tcPr>
            <w:tcW w:w="7371" w:type="dxa"/>
          </w:tcPr>
          <w:p w14:paraId="1172056F" w14:textId="77777777" w:rsidR="00040C3B" w:rsidRDefault="00040C3B" w:rsidP="0034014D">
            <w:pPr>
              <w:pStyle w:val="ListParagraph"/>
              <w:spacing w:after="0" w:line="240" w:lineRule="auto"/>
              <w:ind w:left="360"/>
              <w:rPr>
                <w:rFonts w:cs="TimesNewRomanPSMT"/>
              </w:rPr>
            </w:pPr>
          </w:p>
          <w:p w14:paraId="1F0EF94A" w14:textId="77777777" w:rsidR="00105B34" w:rsidRPr="00105B34" w:rsidRDefault="00105B34" w:rsidP="00105B34">
            <w:pPr>
              <w:numPr>
                <w:ilvl w:val="0"/>
                <w:numId w:val="2"/>
              </w:numPr>
              <w:spacing w:after="0" w:line="240" w:lineRule="auto"/>
              <w:rPr>
                <w:rFonts w:cs="TimesNewRomanPSMT"/>
                <w:lang w:val="en-GB"/>
              </w:rPr>
            </w:pPr>
            <w:r w:rsidRPr="00105B34">
              <w:rPr>
                <w:rFonts w:cs="TimesNewRomanPSMT"/>
                <w:lang w:val="en-GB"/>
              </w:rPr>
              <w:t>Symptom severity – vital signs, degree of respiratory distress</w:t>
            </w:r>
          </w:p>
          <w:p w14:paraId="1C7E552A" w14:textId="77777777" w:rsidR="00105B34" w:rsidRPr="00105B34" w:rsidRDefault="00105B34" w:rsidP="00105B34">
            <w:pPr>
              <w:numPr>
                <w:ilvl w:val="0"/>
                <w:numId w:val="2"/>
              </w:numPr>
              <w:spacing w:after="0" w:line="240" w:lineRule="auto"/>
              <w:rPr>
                <w:rFonts w:cs="TimesNewRomanPSMT"/>
                <w:lang w:val="en-GB"/>
              </w:rPr>
            </w:pPr>
            <w:r w:rsidRPr="00105B34">
              <w:rPr>
                <w:rFonts w:cs="TimesNewRomanPSMT"/>
                <w:lang w:val="en-GB"/>
              </w:rPr>
              <w:t>WHO ordinal scale</w:t>
            </w:r>
          </w:p>
          <w:p w14:paraId="3595F876" w14:textId="77777777" w:rsidR="00105B34" w:rsidRPr="00105B34" w:rsidRDefault="00105B34" w:rsidP="00105B34">
            <w:pPr>
              <w:numPr>
                <w:ilvl w:val="0"/>
                <w:numId w:val="2"/>
              </w:numPr>
              <w:spacing w:after="0" w:line="240" w:lineRule="auto"/>
              <w:rPr>
                <w:rFonts w:cs="TimesNewRomanPSMT"/>
                <w:lang w:val="en-GB"/>
              </w:rPr>
            </w:pPr>
            <w:r w:rsidRPr="00105B34">
              <w:rPr>
                <w:rFonts w:cs="TimesNewRomanPSMT"/>
                <w:lang w:val="en-GB"/>
              </w:rPr>
              <w:t>Incidence of ICU admission</w:t>
            </w:r>
          </w:p>
          <w:p w14:paraId="5569964A" w14:textId="77777777" w:rsidR="00105B34" w:rsidRPr="00105B34" w:rsidRDefault="00105B34" w:rsidP="00105B34">
            <w:pPr>
              <w:numPr>
                <w:ilvl w:val="0"/>
                <w:numId w:val="2"/>
              </w:numPr>
              <w:spacing w:after="0" w:line="240" w:lineRule="auto"/>
              <w:rPr>
                <w:rFonts w:cs="TimesNewRomanPSMT"/>
                <w:lang w:val="en-GB"/>
              </w:rPr>
            </w:pPr>
            <w:r w:rsidRPr="00105B34">
              <w:rPr>
                <w:rFonts w:cs="TimesNewRomanPSMT"/>
                <w:lang w:val="en-GB"/>
              </w:rPr>
              <w:t>Incidence of invasive mechanical ventilation</w:t>
            </w:r>
          </w:p>
          <w:p w14:paraId="4EB78367" w14:textId="77777777" w:rsidR="00105B34" w:rsidRPr="00105B34" w:rsidRDefault="00105B34" w:rsidP="00105B34">
            <w:pPr>
              <w:numPr>
                <w:ilvl w:val="0"/>
                <w:numId w:val="2"/>
              </w:numPr>
              <w:spacing w:after="0" w:line="240" w:lineRule="auto"/>
              <w:rPr>
                <w:rFonts w:cs="TimesNewRomanPSMT"/>
                <w:lang w:val="en-GB"/>
              </w:rPr>
            </w:pPr>
            <w:r w:rsidRPr="00105B34">
              <w:rPr>
                <w:rFonts w:cs="TimesNewRomanPSMT"/>
                <w:lang w:val="en-GB"/>
              </w:rPr>
              <w:t>Duration of all organ support, including invasive mechanical ventilation and non-invasive respiratory support</w:t>
            </w:r>
          </w:p>
          <w:p w14:paraId="7138DD2F" w14:textId="77777777" w:rsidR="00105B34" w:rsidRPr="00105B34" w:rsidRDefault="00105B34" w:rsidP="00105B34">
            <w:pPr>
              <w:numPr>
                <w:ilvl w:val="0"/>
                <w:numId w:val="2"/>
              </w:numPr>
              <w:spacing w:after="0" w:line="240" w:lineRule="auto"/>
              <w:rPr>
                <w:rFonts w:cs="TimesNewRomanPSMT"/>
                <w:lang w:val="en-GB"/>
              </w:rPr>
            </w:pPr>
            <w:r w:rsidRPr="00105B34">
              <w:rPr>
                <w:rFonts w:cs="TimesNewRomanPSMT"/>
                <w:lang w:val="en-GB"/>
              </w:rPr>
              <w:t>Duration of ICU and hospital stay</w:t>
            </w:r>
          </w:p>
          <w:p w14:paraId="78692C82" w14:textId="77777777" w:rsidR="00105B34" w:rsidRDefault="00105B34" w:rsidP="00105B34">
            <w:pPr>
              <w:numPr>
                <w:ilvl w:val="0"/>
                <w:numId w:val="2"/>
              </w:numPr>
              <w:spacing w:after="0" w:line="240" w:lineRule="auto"/>
              <w:rPr>
                <w:rFonts w:cs="TimesNewRomanPSMT"/>
                <w:lang w:val="en-GB"/>
              </w:rPr>
            </w:pPr>
            <w:r w:rsidRPr="00105B34">
              <w:rPr>
                <w:rFonts w:cs="TimesNewRomanPSMT"/>
                <w:lang w:val="en-GB"/>
              </w:rPr>
              <w:t>90-and 180-day mortality</w:t>
            </w:r>
          </w:p>
          <w:p w14:paraId="5E4734E3" w14:textId="3A9EC7F1" w:rsidR="00040C3B" w:rsidRPr="00105B34" w:rsidRDefault="00105B34" w:rsidP="00105B34">
            <w:pPr>
              <w:numPr>
                <w:ilvl w:val="0"/>
                <w:numId w:val="2"/>
              </w:numPr>
              <w:spacing w:after="0" w:line="240" w:lineRule="auto"/>
              <w:rPr>
                <w:rFonts w:cs="TimesNewRomanPSMT"/>
                <w:lang w:val="en-GB"/>
              </w:rPr>
            </w:pPr>
            <w:r w:rsidRPr="00105B34">
              <w:rPr>
                <w:rFonts w:cs="TimesNewRomanPSMT"/>
                <w:lang w:val="en-GB"/>
              </w:rPr>
              <w:t>Longer term follow-up at 6 months including survival, Health Related Quality of Life (HRQoL) using EQ-5D-5L and disability using WHODAS 2.0 score.</w:t>
            </w:r>
          </w:p>
          <w:p w14:paraId="0F48804E" w14:textId="77777777" w:rsidR="00040C3B" w:rsidRPr="00105B34" w:rsidRDefault="00040C3B" w:rsidP="00105B34">
            <w:pPr>
              <w:spacing w:after="0" w:line="240" w:lineRule="auto"/>
              <w:rPr>
                <w:rFonts w:cs="TimesNewRomanPSMT"/>
              </w:rPr>
            </w:pPr>
          </w:p>
        </w:tc>
      </w:tr>
      <w:tr w:rsidR="00040C3B" w:rsidRPr="0077771B" w14:paraId="5F39C7FD" w14:textId="77777777" w:rsidTr="0034014D">
        <w:tc>
          <w:tcPr>
            <w:tcW w:w="2694" w:type="dxa"/>
          </w:tcPr>
          <w:p w14:paraId="1B56CF82" w14:textId="77777777" w:rsidR="00040C3B" w:rsidRDefault="00040C3B" w:rsidP="0034014D">
            <w:pPr>
              <w:spacing w:line="240" w:lineRule="auto"/>
              <w:contextualSpacing/>
              <w:rPr>
                <w:b/>
              </w:rPr>
            </w:pPr>
            <w:r w:rsidRPr="000324A0">
              <w:br w:type="page"/>
            </w:r>
            <w:r>
              <w:rPr>
                <w:b/>
              </w:rPr>
              <w:t>STUDY DESIGN</w:t>
            </w:r>
          </w:p>
          <w:p w14:paraId="6C637448" w14:textId="77777777" w:rsidR="00040C3B" w:rsidRPr="00C13F1C" w:rsidRDefault="00040C3B" w:rsidP="0034014D">
            <w:pPr>
              <w:spacing w:line="240" w:lineRule="auto"/>
              <w:contextualSpacing/>
              <w:rPr>
                <w:b/>
              </w:rPr>
            </w:pPr>
            <w:r>
              <w:rPr>
                <w:b/>
              </w:rPr>
              <w:t xml:space="preserve">(IF THE STUDY IS A CLINICAL TRIAL, PLEASE INCLUDE INFORMATION ON SAMPLE SIZE CALCULATION,  RANDOMISATION, AND BLINDING) </w:t>
            </w:r>
          </w:p>
          <w:p w14:paraId="3E70E7FD" w14:textId="77777777" w:rsidR="00040C3B" w:rsidRPr="000324A0" w:rsidRDefault="00040C3B" w:rsidP="0034014D">
            <w:pPr>
              <w:spacing w:line="240" w:lineRule="auto"/>
              <w:contextualSpacing/>
              <w:rPr>
                <w:b/>
              </w:rPr>
            </w:pPr>
          </w:p>
        </w:tc>
        <w:tc>
          <w:tcPr>
            <w:tcW w:w="7371" w:type="dxa"/>
          </w:tcPr>
          <w:p w14:paraId="5D0D3BF2" w14:textId="77777777" w:rsidR="00105B34" w:rsidRPr="00105B34" w:rsidRDefault="00105B34" w:rsidP="00105B34">
            <w:pPr>
              <w:autoSpaceDE w:val="0"/>
              <w:autoSpaceDN w:val="0"/>
              <w:adjustRightInd w:val="0"/>
              <w:spacing w:line="240" w:lineRule="auto"/>
              <w:contextualSpacing/>
            </w:pPr>
            <w:r w:rsidRPr="00105B34">
              <w:t>The primary analysis will be generated using a Bayesian Hierarchical cumulative logistic model, which will calculate posterior probability distributions of the primary outcome (organ support-free days, including mortality) based on data accumulated in the trial. Prior distributions for individual treatment effects will be neutral. The primary model adjusts for location (site, nested within country), age, sex, disease severity (moderate and severe) and time-period to account for changes in clinical care and potential changes in virus patterns over time. It includes pre-specified treatment-by-treatment interactions across domains.</w:t>
            </w:r>
          </w:p>
          <w:p w14:paraId="5FC198D1" w14:textId="77777777" w:rsidR="00105B34" w:rsidRPr="00105B34" w:rsidRDefault="00105B34" w:rsidP="00105B34">
            <w:pPr>
              <w:autoSpaceDE w:val="0"/>
              <w:autoSpaceDN w:val="0"/>
              <w:adjustRightInd w:val="0"/>
              <w:spacing w:line="240" w:lineRule="auto"/>
              <w:contextualSpacing/>
            </w:pPr>
            <w:r w:rsidRPr="00105B34">
              <w:t xml:space="preserve">At each adaptive analysis if a statistical trigger is reached then effectiveness (compared to control) and superiority (compared to other interventions) are concluded if there is a greater than 99% probability that the odds ratio for an improvement in the primary outcome is greater than 1.0. Futility (compared to control) is concluded if there is a greater than 95% probability that the odds </w:t>
            </w:r>
            <w:r w:rsidRPr="00105B34">
              <w:lastRenderedPageBreak/>
              <w:t>ratio for an improvement in the primary outcome is less than 1.2. Equivalence (between two active interventions) is concluded if there is a greater than 90% probability that the odds ratio is between 1.2 and 0.83 (1 divided by 1.2). These thresholds have been accepted by major medical journals, the WHO, RAPID C-19 and other worldwide groups for developing clinical practice guidelines during the COVID-19 pandemic.</w:t>
            </w:r>
          </w:p>
          <w:p w14:paraId="771F09D8" w14:textId="10F6603A" w:rsidR="00040C3B" w:rsidRDefault="00105B34" w:rsidP="0034014D">
            <w:pPr>
              <w:autoSpaceDE w:val="0"/>
              <w:autoSpaceDN w:val="0"/>
              <w:adjustRightInd w:val="0"/>
              <w:spacing w:line="240" w:lineRule="auto"/>
              <w:contextualSpacing/>
            </w:pPr>
            <w:r w:rsidRPr="00105B34">
              <w:t>Extensive pre-trial modelling using Monte Carlo simulation ensures adequate control of Type I error with these multiple adaptive analyses. For the six-arm antiviral domain, with simulations incorporating nesting the 5- and 10-day oseltamivir arms, we will have 80% power to detect superiority with 4000 patients at an odds ratio of 1.4 and with 1300 patients at an odds ratio of 1.7. For the steroid domain we will have 90% power at 1800 patients to detect superiority at an odds ratio of 1.7. Through all of these, type I error is kept below 10%. The treatment effect for each intervention is directly estimated, so there are no issues with respect to multiplicity of testing. These simulations incorporate the pre-planned interactions across domains.</w:t>
            </w:r>
          </w:p>
          <w:p w14:paraId="1614CF66" w14:textId="77777777" w:rsidR="00105B34" w:rsidRDefault="00105B34" w:rsidP="0034014D">
            <w:pPr>
              <w:autoSpaceDE w:val="0"/>
              <w:autoSpaceDN w:val="0"/>
              <w:adjustRightInd w:val="0"/>
              <w:spacing w:line="240" w:lineRule="auto"/>
              <w:contextualSpacing/>
            </w:pPr>
          </w:p>
          <w:p w14:paraId="43A31AA0" w14:textId="598AAD62" w:rsidR="00105B34" w:rsidRDefault="00105B34" w:rsidP="0034014D">
            <w:pPr>
              <w:autoSpaceDE w:val="0"/>
              <w:autoSpaceDN w:val="0"/>
              <w:adjustRightInd w:val="0"/>
              <w:spacing w:line="240" w:lineRule="auto"/>
              <w:contextualSpacing/>
            </w:pPr>
            <w:r w:rsidRPr="00105B34">
              <w:t>Interventions will be open label. This is a pragmatic trial, with clinically objective endpoints. The requirement to blind allocation status would substantially increase complexity and cost. The investigators believe that in a trade-off between sample size and blinding that the goal of generating evidence to inform patient care is best achieved by conduct as an open-label study.</w:t>
            </w:r>
          </w:p>
          <w:p w14:paraId="37838FDF" w14:textId="77777777" w:rsidR="00105B34" w:rsidRDefault="00105B34" w:rsidP="0034014D">
            <w:pPr>
              <w:autoSpaceDE w:val="0"/>
              <w:autoSpaceDN w:val="0"/>
              <w:adjustRightInd w:val="0"/>
              <w:spacing w:line="240" w:lineRule="auto"/>
              <w:contextualSpacing/>
            </w:pPr>
          </w:p>
          <w:p w14:paraId="33CE5F20" w14:textId="77777777" w:rsidR="00105B34" w:rsidRPr="00105B34" w:rsidRDefault="00105B34" w:rsidP="00105B34">
            <w:pPr>
              <w:autoSpaceDE w:val="0"/>
              <w:autoSpaceDN w:val="0"/>
              <w:adjustRightInd w:val="0"/>
              <w:spacing w:line="240" w:lineRule="auto"/>
              <w:contextualSpacing/>
            </w:pPr>
            <w:r w:rsidRPr="00105B34">
              <w:t>Participants can be concurrently eligible for both domains depending on domain specific exclusion criteria. Randomisation allocations will be revealed immediately on platform entry for the antiviral domain; and for the steroid domain if and when the participant requires supplemental O</w:t>
            </w:r>
            <w:r w:rsidRPr="00105B34">
              <w:rPr>
                <w:vertAlign w:val="subscript"/>
              </w:rPr>
              <w:t>2</w:t>
            </w:r>
            <w:r w:rsidRPr="00105B34">
              <w:t>.</w:t>
            </w:r>
          </w:p>
          <w:p w14:paraId="401241F4" w14:textId="0F24107E" w:rsidR="00105B34" w:rsidRDefault="00105B34" w:rsidP="00105B34">
            <w:pPr>
              <w:autoSpaceDE w:val="0"/>
              <w:autoSpaceDN w:val="0"/>
              <w:adjustRightInd w:val="0"/>
              <w:spacing w:line="240" w:lineRule="auto"/>
              <w:contextualSpacing/>
            </w:pPr>
            <w:r w:rsidRPr="00105B34">
              <w:t>Randomisation occurs through a web-based data capture system (Spiral, NZ), which establishes eligibility and intervention-specific exclusions. Data collection will meet CONSORT guidelines.</w:t>
            </w:r>
          </w:p>
          <w:p w14:paraId="7CC9A7DD" w14:textId="77777777" w:rsidR="00040C3B" w:rsidRPr="000324A0" w:rsidRDefault="00040C3B" w:rsidP="0034014D">
            <w:pPr>
              <w:autoSpaceDE w:val="0"/>
              <w:autoSpaceDN w:val="0"/>
              <w:adjustRightInd w:val="0"/>
              <w:spacing w:line="240" w:lineRule="auto"/>
              <w:contextualSpacing/>
            </w:pPr>
          </w:p>
        </w:tc>
      </w:tr>
      <w:tr w:rsidR="00040C3B" w:rsidRPr="0077771B" w14:paraId="51C93F72" w14:textId="77777777" w:rsidTr="0034014D">
        <w:tc>
          <w:tcPr>
            <w:tcW w:w="2694" w:type="dxa"/>
          </w:tcPr>
          <w:p w14:paraId="46BA14BE" w14:textId="4BB4771D" w:rsidR="00040C3B" w:rsidRPr="000324A0" w:rsidRDefault="00040C3B" w:rsidP="0034014D">
            <w:pPr>
              <w:spacing w:line="240" w:lineRule="auto"/>
              <w:contextualSpacing/>
              <w:rPr>
                <w:b/>
              </w:rPr>
            </w:pPr>
            <w:r w:rsidRPr="000324A0">
              <w:rPr>
                <w:b/>
              </w:rPr>
              <w:lastRenderedPageBreak/>
              <w:t xml:space="preserve">INCLUSION </w:t>
            </w:r>
            <w:r w:rsidR="00105B34">
              <w:rPr>
                <w:b/>
              </w:rPr>
              <w:t xml:space="preserve">and EXCLUSION </w:t>
            </w:r>
            <w:r w:rsidRPr="000324A0">
              <w:rPr>
                <w:b/>
              </w:rPr>
              <w:t>CRITERIA</w:t>
            </w:r>
          </w:p>
        </w:tc>
        <w:tc>
          <w:tcPr>
            <w:tcW w:w="7371" w:type="dxa"/>
          </w:tcPr>
          <w:p w14:paraId="066A2ABD" w14:textId="77777777" w:rsidR="00105B34" w:rsidRPr="00105B34" w:rsidRDefault="00105B34" w:rsidP="00105B34">
            <w:pPr>
              <w:autoSpaceDE w:val="0"/>
              <w:autoSpaceDN w:val="0"/>
              <w:adjustRightInd w:val="0"/>
              <w:spacing w:after="60" w:line="240" w:lineRule="auto"/>
              <w:contextualSpacing/>
            </w:pPr>
            <w:r w:rsidRPr="00105B34">
              <w:rPr>
                <w:u w:val="single"/>
              </w:rPr>
              <w:t>Core Inclusion</w:t>
            </w:r>
            <w:r w:rsidRPr="00105B34">
              <w:t xml:space="preserve"> criteria: 1) Admitted to hospital; 2) Confirmed influenza by PCR.</w:t>
            </w:r>
          </w:p>
          <w:p w14:paraId="31F63CAC" w14:textId="77777777" w:rsidR="00105B34" w:rsidRPr="00105B34" w:rsidRDefault="00105B34" w:rsidP="00105B34">
            <w:pPr>
              <w:autoSpaceDE w:val="0"/>
              <w:autoSpaceDN w:val="0"/>
              <w:adjustRightInd w:val="0"/>
              <w:spacing w:after="60" w:line="240" w:lineRule="auto"/>
              <w:contextualSpacing/>
            </w:pPr>
            <w:r w:rsidRPr="00105B34">
              <w:rPr>
                <w:u w:val="single"/>
              </w:rPr>
              <w:t>Core Exclusion</w:t>
            </w:r>
            <w:r w:rsidRPr="00105B34">
              <w:t xml:space="preserve"> criteria: 1) Currently receiving non-invasive or invasive mechanical ventilation or inotropic support; 2) &gt;14 days since admission with symptoms of influenza; 3) Patient expected to be discharged from hospital today or tomorrow; 4) Previous participation in trial; 5) Treating team deems enrolment is not in patient’s best interests; 6) Death deemed imminent &amp; inevitable AND treating team not committed to active treatment.</w:t>
            </w:r>
          </w:p>
          <w:p w14:paraId="4E826C2C" w14:textId="77777777" w:rsidR="00105B34" w:rsidRPr="00105B34" w:rsidRDefault="00105B34" w:rsidP="00105B34">
            <w:pPr>
              <w:autoSpaceDE w:val="0"/>
              <w:autoSpaceDN w:val="0"/>
              <w:adjustRightInd w:val="0"/>
              <w:spacing w:after="60" w:line="240" w:lineRule="auto"/>
              <w:contextualSpacing/>
            </w:pPr>
            <w:r w:rsidRPr="00105B34">
              <w:rPr>
                <w:u w:val="single"/>
              </w:rPr>
              <w:t>Antiviral domain</w:t>
            </w:r>
            <w:r w:rsidRPr="00105B34">
              <w:t xml:space="preserve">. </w:t>
            </w:r>
            <w:r w:rsidRPr="00105B34">
              <w:rPr>
                <w:i/>
                <w:iCs/>
              </w:rPr>
              <w:t>Exclusion criteria</w:t>
            </w:r>
            <w:r w:rsidRPr="00105B34">
              <w:t>: 1) Already received ≥2 doses of oseltamivir or ≥1 dose of baloxavir for this illness. 2) &lt;12 years of age for baloxavir (safety data currently under review).</w:t>
            </w:r>
          </w:p>
          <w:p w14:paraId="7C7CBE14" w14:textId="77777777" w:rsidR="00105B34" w:rsidRPr="00105B34" w:rsidRDefault="00105B34" w:rsidP="00105B34">
            <w:pPr>
              <w:autoSpaceDE w:val="0"/>
              <w:autoSpaceDN w:val="0"/>
              <w:adjustRightInd w:val="0"/>
              <w:spacing w:after="60" w:line="240" w:lineRule="auto"/>
              <w:contextualSpacing/>
            </w:pPr>
            <w:r w:rsidRPr="00105B34">
              <w:rPr>
                <w:u w:val="single"/>
              </w:rPr>
              <w:t>Corticosteroid domain</w:t>
            </w:r>
            <w:r w:rsidRPr="00105B34">
              <w:t xml:space="preserve">. </w:t>
            </w:r>
            <w:r w:rsidRPr="00105B34">
              <w:rPr>
                <w:i/>
                <w:iCs/>
              </w:rPr>
              <w:t>Inclusion criteria</w:t>
            </w:r>
            <w:r w:rsidRPr="00105B34">
              <w:t>: Receiving supplemental O</w:t>
            </w:r>
            <w:r w:rsidRPr="00105B34">
              <w:rPr>
                <w:vertAlign w:val="subscript"/>
              </w:rPr>
              <w:t>2</w:t>
            </w:r>
            <w:r w:rsidRPr="00105B34">
              <w:t xml:space="preserve">. </w:t>
            </w:r>
            <w:r w:rsidRPr="00105B34">
              <w:rPr>
                <w:i/>
                <w:iCs/>
              </w:rPr>
              <w:t>Exclusion criteria</w:t>
            </w:r>
            <w:r w:rsidRPr="00105B34">
              <w:t>: Receiving or planned to receive corticosteroids for alternate indication.</w:t>
            </w:r>
          </w:p>
          <w:p w14:paraId="4F2ECF08" w14:textId="77777777" w:rsidR="00040C3B" w:rsidRPr="000324A0" w:rsidRDefault="00040C3B" w:rsidP="0034014D">
            <w:pPr>
              <w:autoSpaceDE w:val="0"/>
              <w:autoSpaceDN w:val="0"/>
              <w:adjustRightInd w:val="0"/>
              <w:spacing w:after="60" w:line="240" w:lineRule="auto"/>
              <w:contextualSpacing/>
            </w:pPr>
          </w:p>
        </w:tc>
      </w:tr>
      <w:tr w:rsidR="00040C3B" w:rsidRPr="0077771B" w14:paraId="66039585" w14:textId="77777777" w:rsidTr="0034014D">
        <w:tc>
          <w:tcPr>
            <w:tcW w:w="2694" w:type="dxa"/>
          </w:tcPr>
          <w:p w14:paraId="17CAE4A7" w14:textId="77777777" w:rsidR="00040C3B" w:rsidRPr="000324A0" w:rsidRDefault="00040C3B" w:rsidP="0034014D">
            <w:pPr>
              <w:spacing w:line="240" w:lineRule="auto"/>
              <w:contextualSpacing/>
              <w:rPr>
                <w:b/>
              </w:rPr>
            </w:pPr>
            <w:r>
              <w:rPr>
                <w:b/>
              </w:rPr>
              <w:t xml:space="preserve">EXPECTED </w:t>
            </w:r>
            <w:r w:rsidRPr="000324A0">
              <w:rPr>
                <w:b/>
              </w:rPr>
              <w:t>NUMBER OF PARTICIPANTS</w:t>
            </w:r>
          </w:p>
        </w:tc>
        <w:tc>
          <w:tcPr>
            <w:tcW w:w="7371" w:type="dxa"/>
          </w:tcPr>
          <w:p w14:paraId="29D54725" w14:textId="77E35ABA" w:rsidR="00040C3B" w:rsidRDefault="00105B34" w:rsidP="0034014D">
            <w:pPr>
              <w:spacing w:after="0" w:line="240" w:lineRule="auto"/>
              <w:ind w:right="113"/>
            </w:pPr>
            <w:r>
              <w:t>4000 globally; of which ASCOT will aim to recruit 400 in Australia / NZ</w:t>
            </w:r>
          </w:p>
          <w:p w14:paraId="76171BBF" w14:textId="77777777" w:rsidR="00040C3B" w:rsidRDefault="00040C3B" w:rsidP="0034014D">
            <w:pPr>
              <w:spacing w:after="0" w:line="240" w:lineRule="auto"/>
              <w:ind w:right="113"/>
            </w:pPr>
          </w:p>
          <w:p w14:paraId="6F906F43" w14:textId="77777777" w:rsidR="00040C3B" w:rsidRDefault="00040C3B" w:rsidP="0034014D">
            <w:pPr>
              <w:spacing w:after="0" w:line="240" w:lineRule="auto"/>
              <w:ind w:right="113"/>
            </w:pPr>
          </w:p>
          <w:p w14:paraId="1309475E" w14:textId="77777777" w:rsidR="00040C3B" w:rsidRPr="000324A0" w:rsidRDefault="00040C3B" w:rsidP="0034014D">
            <w:pPr>
              <w:spacing w:after="0" w:line="240" w:lineRule="auto"/>
              <w:ind w:right="113"/>
            </w:pPr>
          </w:p>
        </w:tc>
      </w:tr>
      <w:tr w:rsidR="00040C3B" w:rsidRPr="0077771B" w14:paraId="58113D16" w14:textId="77777777" w:rsidTr="0034014D">
        <w:tc>
          <w:tcPr>
            <w:tcW w:w="2694" w:type="dxa"/>
          </w:tcPr>
          <w:p w14:paraId="795D3001" w14:textId="6EC0D12C" w:rsidR="00040C3B" w:rsidRDefault="00040C3B" w:rsidP="0034014D">
            <w:pPr>
              <w:spacing w:line="240" w:lineRule="auto"/>
              <w:contextualSpacing/>
              <w:rPr>
                <w:b/>
              </w:rPr>
            </w:pPr>
            <w:r>
              <w:rPr>
                <w:b/>
              </w:rPr>
              <w:t>STUDY DURATION</w:t>
            </w:r>
          </w:p>
          <w:p w14:paraId="07078DBA" w14:textId="77777777" w:rsidR="00040C3B" w:rsidRPr="000324A0" w:rsidRDefault="00040C3B" w:rsidP="0034014D">
            <w:pPr>
              <w:spacing w:line="240" w:lineRule="auto"/>
              <w:contextualSpacing/>
              <w:rPr>
                <w:b/>
              </w:rPr>
            </w:pPr>
          </w:p>
        </w:tc>
        <w:tc>
          <w:tcPr>
            <w:tcW w:w="7371" w:type="dxa"/>
            <w:vAlign w:val="center"/>
          </w:tcPr>
          <w:p w14:paraId="4100D5A7" w14:textId="0BAE5288" w:rsidR="00040C3B" w:rsidRPr="000324A0" w:rsidRDefault="00105B34" w:rsidP="0034014D">
            <w:pPr>
              <w:spacing w:after="0" w:line="240" w:lineRule="auto"/>
              <w:ind w:right="113"/>
              <w:contextualSpacing/>
            </w:pPr>
            <w:r>
              <w:lastRenderedPageBreak/>
              <w:t>3 years, with final year for follow-up / study close out</w:t>
            </w:r>
          </w:p>
        </w:tc>
      </w:tr>
      <w:tr w:rsidR="00040C3B" w:rsidRPr="0077771B" w14:paraId="2CF4D09C" w14:textId="77777777" w:rsidTr="0034014D">
        <w:tc>
          <w:tcPr>
            <w:tcW w:w="2694" w:type="dxa"/>
          </w:tcPr>
          <w:p w14:paraId="28615188" w14:textId="77777777" w:rsidR="00040C3B" w:rsidRPr="000324A0" w:rsidRDefault="00040C3B" w:rsidP="0034014D">
            <w:pPr>
              <w:spacing w:line="240" w:lineRule="auto"/>
              <w:contextualSpacing/>
              <w:rPr>
                <w:b/>
              </w:rPr>
            </w:pPr>
            <w:r w:rsidRPr="000324A0">
              <w:rPr>
                <w:b/>
              </w:rPr>
              <w:t>ANALYSIS</w:t>
            </w:r>
          </w:p>
        </w:tc>
        <w:tc>
          <w:tcPr>
            <w:tcW w:w="7371" w:type="dxa"/>
          </w:tcPr>
          <w:p w14:paraId="5D40972D" w14:textId="0864F991" w:rsidR="00040C3B" w:rsidRDefault="00105B34" w:rsidP="0034014D">
            <w:pPr>
              <w:spacing w:line="240" w:lineRule="auto"/>
              <w:contextualSpacing/>
            </w:pPr>
            <w:r>
              <w:t>See above section Study Design.</w:t>
            </w:r>
          </w:p>
          <w:p w14:paraId="11F47510" w14:textId="77777777" w:rsidR="00040C3B" w:rsidRDefault="00040C3B" w:rsidP="0034014D">
            <w:pPr>
              <w:spacing w:line="240" w:lineRule="auto"/>
              <w:contextualSpacing/>
            </w:pPr>
          </w:p>
          <w:p w14:paraId="6A3BA6E0" w14:textId="77777777" w:rsidR="00040C3B" w:rsidRDefault="00040C3B" w:rsidP="0034014D">
            <w:pPr>
              <w:spacing w:line="240" w:lineRule="auto"/>
              <w:contextualSpacing/>
            </w:pPr>
          </w:p>
          <w:p w14:paraId="0D7DC4D5" w14:textId="77777777" w:rsidR="00040C3B" w:rsidRPr="000324A0" w:rsidRDefault="00040C3B" w:rsidP="0034014D">
            <w:pPr>
              <w:spacing w:line="240" w:lineRule="auto"/>
              <w:contextualSpacing/>
            </w:pPr>
          </w:p>
        </w:tc>
      </w:tr>
      <w:tr w:rsidR="00040C3B" w:rsidRPr="0077771B" w14:paraId="1E660B00" w14:textId="77777777" w:rsidTr="0034014D">
        <w:tc>
          <w:tcPr>
            <w:tcW w:w="2694" w:type="dxa"/>
          </w:tcPr>
          <w:p w14:paraId="46F3B11C" w14:textId="77777777" w:rsidR="00040C3B" w:rsidRDefault="00040C3B" w:rsidP="0034014D">
            <w:pPr>
              <w:spacing w:line="240" w:lineRule="auto"/>
              <w:contextualSpacing/>
              <w:rPr>
                <w:b/>
              </w:rPr>
            </w:pPr>
            <w:r>
              <w:rPr>
                <w:b/>
              </w:rPr>
              <w:t xml:space="preserve">IMPORTANCE TO GENERAL MEDICINE </w:t>
            </w:r>
          </w:p>
          <w:p w14:paraId="0DDE611B" w14:textId="77777777" w:rsidR="00040C3B" w:rsidRDefault="00040C3B" w:rsidP="0034014D">
            <w:pPr>
              <w:spacing w:line="240" w:lineRule="auto"/>
              <w:contextualSpacing/>
              <w:rPr>
                <w:b/>
              </w:rPr>
            </w:pPr>
          </w:p>
          <w:p w14:paraId="27400BCC" w14:textId="77777777" w:rsidR="00040C3B" w:rsidRDefault="00040C3B" w:rsidP="0034014D">
            <w:pPr>
              <w:spacing w:line="240" w:lineRule="auto"/>
              <w:contextualSpacing/>
              <w:rPr>
                <w:b/>
              </w:rPr>
            </w:pPr>
          </w:p>
          <w:p w14:paraId="5F11536B" w14:textId="77777777" w:rsidR="00040C3B" w:rsidRPr="000324A0" w:rsidRDefault="00040C3B" w:rsidP="0034014D">
            <w:pPr>
              <w:spacing w:line="240" w:lineRule="auto"/>
              <w:contextualSpacing/>
              <w:rPr>
                <w:b/>
              </w:rPr>
            </w:pPr>
          </w:p>
        </w:tc>
        <w:tc>
          <w:tcPr>
            <w:tcW w:w="7371" w:type="dxa"/>
          </w:tcPr>
          <w:p w14:paraId="36BA268F" w14:textId="5C26DDE8" w:rsidR="00040C3B" w:rsidRDefault="00105B34" w:rsidP="0034014D">
            <w:pPr>
              <w:spacing w:line="240" w:lineRule="auto"/>
              <w:contextualSpacing/>
            </w:pPr>
            <w:r w:rsidRPr="00105B34">
              <w:t>Globally, influenza is estimated to cause 3 to 5 million cases of severe illness, and up to 650,000 deaths. In Australia, influenza is estimated to cause over 13,500 hospitalisations and over 3,000 deaths each year, with most severe cases occurring in people aged 50 years and older. There is a considerable burden on hospital capacity during the influenza season. In 2019 in Australia, the peak rate of admissions with influenza was 4.5 per 100 beds/week. With a mean hospital stay of 4.9 days, during such peaks, an estimated 3.2% of hospital beds were occupied by patents with influenza</w:t>
            </w:r>
            <w:r w:rsidRPr="00105B34">
              <w:fldChar w:fldCharType="begin">
                <w:fldData xml:space="preserve">PEVuZE5vdGU+PENpdGU+PEF1dGhvcj5DaGVuZzwvQXV0aG9yPjxZZWFyPjIwMjI8L1llYXI+PFJl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==
</w:fldData>
              </w:fldChar>
            </w:r>
            <w:r w:rsidRPr="00105B34">
              <w:instrText xml:space="preserve"> ADDIN EN.CITE </w:instrText>
            </w:r>
            <w:r w:rsidRPr="00105B34">
              <w:fldChar w:fldCharType="begin">
                <w:fldData xml:space="preserve">PEVuZE5vdGU+PENpdGU+PEF1dGhvcj5DaGVuZzwvQXV0aG9yPjxZZWFyPjIwMjI8L1llYXI+PFJl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==
</w:fldData>
              </w:fldChar>
            </w:r>
            <w:r w:rsidRPr="00105B34">
              <w:instrText xml:space="preserve"> ADDIN EN.CITE.DATA </w:instrText>
            </w:r>
            <w:r w:rsidRPr="00105B34">
              <w:fldChar w:fldCharType="end"/>
            </w:r>
            <w:r w:rsidRPr="00105B34">
              <w:fldChar w:fldCharType="separate"/>
            </w:r>
            <w:r w:rsidRPr="00105B34">
              <w:rPr>
                <w:vertAlign w:val="superscript"/>
              </w:rPr>
              <w:t>1</w:t>
            </w:r>
            <w:r w:rsidRPr="00105B34">
              <w:fldChar w:fldCharType="end"/>
            </w:r>
            <w:r w:rsidRPr="00105B34">
              <w:t>.</w:t>
            </w:r>
            <w:r>
              <w:t xml:space="preserve"> The majority of these beds will be under general medicine.</w:t>
            </w:r>
          </w:p>
        </w:tc>
      </w:tr>
      <w:tr w:rsidR="00040C3B" w:rsidRPr="0077771B" w14:paraId="5F38080C" w14:textId="77777777" w:rsidTr="0034014D">
        <w:tc>
          <w:tcPr>
            <w:tcW w:w="2694" w:type="dxa"/>
          </w:tcPr>
          <w:p w14:paraId="5837397A" w14:textId="6F7DBDBB" w:rsidR="00040C3B" w:rsidRDefault="00040C3B" w:rsidP="0034014D">
            <w:pPr>
              <w:spacing w:line="240" w:lineRule="auto"/>
              <w:contextualSpacing/>
              <w:rPr>
                <w:b/>
              </w:rPr>
            </w:pPr>
            <w:r>
              <w:rPr>
                <w:b/>
              </w:rPr>
              <w:t>FUNDING</w:t>
            </w:r>
          </w:p>
          <w:p w14:paraId="59A4D67C" w14:textId="77777777" w:rsidR="00040C3B" w:rsidRPr="000324A0" w:rsidRDefault="00040C3B" w:rsidP="0034014D">
            <w:pPr>
              <w:spacing w:line="240" w:lineRule="auto"/>
              <w:contextualSpacing/>
              <w:rPr>
                <w:b/>
              </w:rPr>
            </w:pPr>
          </w:p>
        </w:tc>
        <w:tc>
          <w:tcPr>
            <w:tcW w:w="7371" w:type="dxa"/>
          </w:tcPr>
          <w:p w14:paraId="23C532BB" w14:textId="372B5C6A" w:rsidR="00040C3B" w:rsidRPr="000324A0" w:rsidRDefault="00105B34" w:rsidP="0034014D">
            <w:pPr>
              <w:spacing w:line="240" w:lineRule="auto"/>
              <w:contextualSpacing/>
            </w:pPr>
            <w:r>
              <w:t>This is to support a grant application to MRFF.</w:t>
            </w:r>
          </w:p>
        </w:tc>
      </w:tr>
      <w:tr w:rsidR="00040C3B" w:rsidRPr="0077771B" w14:paraId="364BBE7D" w14:textId="77777777" w:rsidTr="0034014D">
        <w:tc>
          <w:tcPr>
            <w:tcW w:w="2694" w:type="dxa"/>
          </w:tcPr>
          <w:p w14:paraId="0399A594" w14:textId="77777777" w:rsidR="00040C3B" w:rsidRDefault="00040C3B" w:rsidP="0034014D">
            <w:pPr>
              <w:spacing w:line="240" w:lineRule="auto"/>
              <w:contextualSpacing/>
              <w:rPr>
                <w:b/>
              </w:rPr>
            </w:pPr>
            <w:r>
              <w:rPr>
                <w:b/>
              </w:rPr>
              <w:t>CURRENT PROGRESS</w:t>
            </w:r>
          </w:p>
        </w:tc>
        <w:tc>
          <w:tcPr>
            <w:tcW w:w="7371" w:type="dxa"/>
          </w:tcPr>
          <w:p w14:paraId="3871E3DA" w14:textId="16634D29" w:rsidR="00040C3B" w:rsidRDefault="00040C3B" w:rsidP="0034014D">
            <w:pPr>
              <w:spacing w:line="240" w:lineRule="auto"/>
              <w:contextualSpacing/>
            </w:pPr>
            <w:r>
              <w:t>Design and protocol development [</w:t>
            </w:r>
            <w:r w:rsidR="00105B34">
              <w:t>Completed</w:t>
            </w:r>
            <w:r>
              <w:t>]</w:t>
            </w:r>
          </w:p>
          <w:p w14:paraId="043EE7CF" w14:textId="77777777" w:rsidR="00040C3B" w:rsidRDefault="00040C3B" w:rsidP="0034014D">
            <w:pPr>
              <w:spacing w:line="240" w:lineRule="auto"/>
              <w:contextualSpacing/>
            </w:pPr>
            <w:r>
              <w:t>Ethics application []</w:t>
            </w:r>
          </w:p>
          <w:p w14:paraId="7C4F99DB" w14:textId="77777777" w:rsidR="00040C3B" w:rsidRDefault="00040C3B" w:rsidP="0034014D">
            <w:pPr>
              <w:spacing w:line="240" w:lineRule="auto"/>
              <w:contextualSpacing/>
            </w:pPr>
            <w:r>
              <w:t>Study in progress []</w:t>
            </w:r>
          </w:p>
          <w:p w14:paraId="14CE6677" w14:textId="77777777" w:rsidR="00040C3B" w:rsidRDefault="00040C3B" w:rsidP="0034014D">
            <w:pPr>
              <w:spacing w:line="240" w:lineRule="auto"/>
              <w:contextualSpacing/>
            </w:pPr>
            <w:r>
              <w:t>Manuscript write-up in progress or under review []</w:t>
            </w:r>
          </w:p>
          <w:p w14:paraId="4D3D991A" w14:textId="77777777" w:rsidR="00040C3B" w:rsidRDefault="00040C3B" w:rsidP="0034014D">
            <w:pPr>
              <w:spacing w:line="240" w:lineRule="auto"/>
              <w:contextualSpacing/>
            </w:pPr>
            <w:r>
              <w:t>Accepted or published []</w:t>
            </w:r>
          </w:p>
          <w:p w14:paraId="4F276B49" w14:textId="77777777" w:rsidR="00040C3B" w:rsidRPr="000324A0" w:rsidRDefault="00040C3B" w:rsidP="0034014D">
            <w:pPr>
              <w:spacing w:line="240" w:lineRule="auto"/>
              <w:contextualSpacing/>
            </w:pPr>
            <w:r>
              <w:t>Aborted</w:t>
            </w:r>
          </w:p>
        </w:tc>
      </w:tr>
      <w:tr w:rsidR="00040C3B" w:rsidRPr="0077771B" w14:paraId="531B98E1" w14:textId="77777777" w:rsidTr="0034014D">
        <w:tc>
          <w:tcPr>
            <w:tcW w:w="2694" w:type="dxa"/>
            <w:shd w:val="clear" w:color="auto" w:fill="D9D9D9" w:themeFill="background1" w:themeFillShade="D9"/>
          </w:tcPr>
          <w:p w14:paraId="12D79BA0" w14:textId="77777777" w:rsidR="00040C3B" w:rsidRDefault="00040C3B" w:rsidP="0034014D">
            <w:pPr>
              <w:spacing w:line="240" w:lineRule="auto"/>
              <w:contextualSpacing/>
              <w:rPr>
                <w:b/>
              </w:rPr>
            </w:pPr>
            <w:r>
              <w:rPr>
                <w:b/>
              </w:rPr>
              <w:t>IMSANZ-RN OFFICE USE ONLY</w:t>
            </w:r>
          </w:p>
        </w:tc>
        <w:tc>
          <w:tcPr>
            <w:tcW w:w="7371" w:type="dxa"/>
            <w:shd w:val="clear" w:color="auto" w:fill="D9D9D9" w:themeFill="background1" w:themeFillShade="D9"/>
          </w:tcPr>
          <w:p w14:paraId="0ADBC395" w14:textId="02F433AA" w:rsidR="00040C3B" w:rsidRPr="00273122" w:rsidRDefault="00040C3B" w:rsidP="0034014D">
            <w:pPr>
              <w:spacing w:line="240" w:lineRule="auto"/>
              <w:contextualSpacing/>
              <w:rPr>
                <w:b/>
                <w:bCs/>
              </w:rPr>
            </w:pPr>
            <w:r w:rsidRPr="00273122">
              <w:rPr>
                <w:b/>
                <w:bCs/>
              </w:rPr>
              <w:t>APPROVED</w:t>
            </w:r>
          </w:p>
          <w:p w14:paraId="2BEAD504" w14:textId="77777777" w:rsidR="00040C3B" w:rsidRPr="00273122" w:rsidRDefault="00040C3B" w:rsidP="0034014D">
            <w:pPr>
              <w:spacing w:line="240" w:lineRule="auto"/>
              <w:contextualSpacing/>
              <w:rPr>
                <w:b/>
                <w:bCs/>
              </w:rPr>
            </w:pPr>
          </w:p>
          <w:p w14:paraId="6AFAC288" w14:textId="77777777" w:rsidR="00040C3B" w:rsidRDefault="00040C3B" w:rsidP="0034014D">
            <w:pPr>
              <w:spacing w:line="240" w:lineRule="auto"/>
              <w:contextualSpacing/>
              <w:rPr>
                <w:b/>
                <w:bCs/>
              </w:rPr>
            </w:pPr>
          </w:p>
          <w:p w14:paraId="3105D192" w14:textId="4EB48E11" w:rsidR="00040C3B" w:rsidRDefault="00040C3B" w:rsidP="0034014D">
            <w:pPr>
              <w:spacing w:line="240" w:lineRule="auto"/>
              <w:contextualSpacing/>
              <w:rPr>
                <w:b/>
                <w:bCs/>
              </w:rPr>
            </w:pPr>
            <w:r w:rsidRPr="00273122">
              <w:rPr>
                <w:b/>
                <w:bCs/>
              </w:rPr>
              <w:t>APPROVAL CATEGORY:</w:t>
            </w:r>
            <w:r w:rsidR="008202D1">
              <w:rPr>
                <w:b/>
                <w:bCs/>
              </w:rPr>
              <w:t xml:space="preserve"> PARTNERED STUDY</w:t>
            </w:r>
          </w:p>
          <w:p w14:paraId="474592C0" w14:textId="77777777" w:rsidR="00040C3B" w:rsidRPr="000324A0" w:rsidRDefault="00040C3B" w:rsidP="0034014D">
            <w:pPr>
              <w:spacing w:line="240" w:lineRule="auto"/>
              <w:contextualSpacing/>
            </w:pPr>
          </w:p>
        </w:tc>
      </w:tr>
    </w:tbl>
    <w:p w14:paraId="64C4D45D" w14:textId="77777777" w:rsidR="00040C3B" w:rsidRDefault="00040C3B" w:rsidP="00040C3B"/>
    <w:p w14:paraId="254542B9" w14:textId="77777777" w:rsidR="009E45E5" w:rsidRDefault="009E45E5"/>
    <w:sectPr w:rsidR="009E45E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7EEA8" w14:textId="77777777" w:rsidR="00E55D16" w:rsidRDefault="00E55D16" w:rsidP="009832C7">
      <w:pPr>
        <w:spacing w:after="0" w:line="240" w:lineRule="auto"/>
      </w:pPr>
      <w:r>
        <w:separator/>
      </w:r>
    </w:p>
  </w:endnote>
  <w:endnote w:type="continuationSeparator" w:id="0">
    <w:p w14:paraId="2AD2B042" w14:textId="77777777" w:rsidR="00E55D16" w:rsidRDefault="00E55D16" w:rsidP="0098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FC05" w14:textId="77777777" w:rsidR="009832C7" w:rsidRDefault="009832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C6AF" w14:textId="1F808D3A" w:rsidR="009832C7" w:rsidRDefault="009832C7" w:rsidP="009832C7">
    <w:pPr>
      <w:pStyle w:val="Footer"/>
      <w:rPr>
        <w:color w:val="808080" w:themeColor="background1" w:themeShade="80"/>
      </w:rPr>
    </w:pPr>
    <w:r>
      <w:rPr>
        <w:color w:val="808080" w:themeColor="background1" w:themeShade="80"/>
      </w:rPr>
      <w:t>IMSANZ-RN Research Proposal Submission Form (2022)</w:t>
    </w:r>
  </w:p>
  <w:p w14:paraId="21752E39" w14:textId="77777777" w:rsidR="009832C7" w:rsidRDefault="009832C7" w:rsidP="009832C7">
    <w:pPr>
      <w:pStyle w:val="Footer"/>
      <w:rPr>
        <w:color w:val="808080" w:themeColor="background1" w:themeShade="80"/>
      </w:rPr>
    </w:pPr>
    <w:r>
      <w:rPr>
        <w:color w:val="808080" w:themeColor="background1" w:themeShade="80"/>
      </w:rPr>
      <w:t>Version 1.0, Approved by IMSANZ Board 12 Jan 2023</w:t>
    </w:r>
  </w:p>
  <w:p w14:paraId="34E538EB" w14:textId="04C8D24C" w:rsidR="009832C7" w:rsidRDefault="009832C7">
    <w:pPr>
      <w:pStyle w:val="Footer"/>
    </w:pPr>
  </w:p>
  <w:p w14:paraId="51FD149E" w14:textId="77777777" w:rsidR="009832C7" w:rsidRDefault="009832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CB22" w14:textId="77777777" w:rsidR="009832C7" w:rsidRDefault="00983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FDA34" w14:textId="77777777" w:rsidR="00E55D16" w:rsidRDefault="00E55D16" w:rsidP="009832C7">
      <w:pPr>
        <w:spacing w:after="0" w:line="240" w:lineRule="auto"/>
      </w:pPr>
      <w:r>
        <w:separator/>
      </w:r>
    </w:p>
  </w:footnote>
  <w:footnote w:type="continuationSeparator" w:id="0">
    <w:p w14:paraId="177526CB" w14:textId="77777777" w:rsidR="00E55D16" w:rsidRDefault="00E55D16" w:rsidP="00983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3F3E" w14:textId="77777777" w:rsidR="009832C7" w:rsidRDefault="00983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5611" w14:textId="77777777" w:rsidR="009832C7" w:rsidRDefault="009832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16C5B" w14:textId="77777777" w:rsidR="009832C7" w:rsidRDefault="00983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870D1"/>
    <w:multiLevelType w:val="hybridMultilevel"/>
    <w:tmpl w:val="AFE8C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9E3DD6"/>
    <w:multiLevelType w:val="hybridMultilevel"/>
    <w:tmpl w:val="D0E8D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6707441">
    <w:abstractNumId w:val="1"/>
  </w:num>
  <w:num w:numId="2" w16cid:durableId="411633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C3B"/>
    <w:rsid w:val="00040C3B"/>
    <w:rsid w:val="00105B34"/>
    <w:rsid w:val="00132D0A"/>
    <w:rsid w:val="00307030"/>
    <w:rsid w:val="00334D1C"/>
    <w:rsid w:val="003D294C"/>
    <w:rsid w:val="006B137E"/>
    <w:rsid w:val="0070301E"/>
    <w:rsid w:val="008202D1"/>
    <w:rsid w:val="009832C7"/>
    <w:rsid w:val="009A6E2D"/>
    <w:rsid w:val="009E45E5"/>
    <w:rsid w:val="00A57D82"/>
    <w:rsid w:val="00BB29F6"/>
    <w:rsid w:val="00BD5508"/>
    <w:rsid w:val="00CA7A6F"/>
    <w:rsid w:val="00E55D16"/>
    <w:rsid w:val="00E879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91940"/>
  <w15:chartTrackingRefBased/>
  <w15:docId w15:val="{4130D677-48D7-46DA-B008-EF6E2E40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C3B"/>
    <w:pPr>
      <w:ind w:left="720"/>
      <w:contextualSpacing/>
    </w:pPr>
  </w:style>
  <w:style w:type="paragraph" w:styleId="Header">
    <w:name w:val="header"/>
    <w:basedOn w:val="Normal"/>
    <w:link w:val="HeaderChar"/>
    <w:uiPriority w:val="99"/>
    <w:unhideWhenUsed/>
    <w:rsid w:val="00983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2C7"/>
  </w:style>
  <w:style w:type="paragraph" w:styleId="Footer">
    <w:name w:val="footer"/>
    <w:basedOn w:val="Normal"/>
    <w:link w:val="FooterChar"/>
    <w:uiPriority w:val="99"/>
    <w:unhideWhenUsed/>
    <w:rsid w:val="00983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2C7"/>
  </w:style>
  <w:style w:type="character" w:styleId="Hyperlink">
    <w:name w:val="Hyperlink"/>
    <w:basedOn w:val="DefaultParagraphFont"/>
    <w:uiPriority w:val="99"/>
    <w:unhideWhenUsed/>
    <w:rsid w:val="00105B34"/>
    <w:rPr>
      <w:color w:val="0563C1" w:themeColor="hyperlink"/>
      <w:u w:val="single"/>
    </w:rPr>
  </w:style>
  <w:style w:type="character" w:styleId="UnresolvedMention">
    <w:name w:val="Unresolved Mention"/>
    <w:basedOn w:val="DefaultParagraphFont"/>
    <w:uiPriority w:val="99"/>
    <w:semiHidden/>
    <w:unhideWhenUsed/>
    <w:rsid w:val="00105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8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teven.tong@unimelb.edu.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Aung, Ar Kar</dc:creator>
  <cp:keywords/>
  <dc:description/>
  <cp:lastModifiedBy>Aung, Ar Kar</cp:lastModifiedBy>
  <cp:revision>5</cp:revision>
  <dcterms:created xsi:type="dcterms:W3CDTF">2023-07-17T21:27:00Z</dcterms:created>
  <dcterms:modified xsi:type="dcterms:W3CDTF">2024-01-18T02:18:00Z</dcterms:modified>
</cp:coreProperties>
</file>